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400" w:lineRule="exac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sz w:val="28"/>
          <w:szCs w:val="28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等线" w:eastAsia="方正小标宋简体" w:cs="宋体"/>
          <w:sz w:val="36"/>
          <w:szCs w:val="36"/>
        </w:rPr>
      </w:pPr>
      <w:r>
        <w:rPr>
          <w:rFonts w:hint="eastAsia" w:ascii="方正小标宋简体" w:hAnsi="等线" w:eastAsia="方正小标宋简体" w:cs="宋体"/>
          <w:sz w:val="36"/>
          <w:szCs w:val="36"/>
          <w:lang w:val="en-US" w:eastAsia="zh-Hans"/>
        </w:rPr>
        <w:t>初赛</w:t>
      </w:r>
      <w:r>
        <w:rPr>
          <w:rFonts w:hint="default" w:ascii="方正小标宋简体" w:hAnsi="等线" w:eastAsia="方正小标宋简体" w:cs="宋体"/>
          <w:sz w:val="36"/>
          <w:szCs w:val="36"/>
          <w:lang w:eastAsia="zh-Hans"/>
        </w:rPr>
        <w:t>（</w:t>
      </w:r>
      <w:r>
        <w:rPr>
          <w:rFonts w:hint="eastAsia" w:ascii="方正小标宋简体" w:hAnsi="等线" w:eastAsia="方正小标宋简体" w:cs="宋体"/>
          <w:sz w:val="36"/>
          <w:szCs w:val="36"/>
          <w:lang w:val="en-US" w:eastAsia="zh-Hans"/>
        </w:rPr>
        <w:t>文本</w:t>
      </w:r>
      <w:r>
        <w:rPr>
          <w:rFonts w:hint="default" w:ascii="方正小标宋简体" w:hAnsi="等线" w:eastAsia="方正小标宋简体" w:cs="宋体"/>
          <w:sz w:val="36"/>
          <w:szCs w:val="36"/>
          <w:lang w:eastAsia="zh-Hans"/>
        </w:rPr>
        <w:t>）</w:t>
      </w:r>
      <w:r>
        <w:rPr>
          <w:rFonts w:hint="eastAsia" w:ascii="方正小标宋简体" w:hAnsi="等线" w:eastAsia="方正小标宋简体" w:cs="宋体"/>
          <w:sz w:val="36"/>
          <w:szCs w:val="36"/>
        </w:rPr>
        <w:t>评分标准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116"/>
        <w:gridCol w:w="7885"/>
      </w:tblGrid>
      <w:tr>
        <w:trPr>
          <w:trHeight w:val="600" w:hRule="atLeas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评分</w:t>
            </w:r>
          </w:p>
          <w:p>
            <w:pPr>
              <w:spacing w:beforeLines="0" w:afterLines="0" w:line="3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要素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评分</w:t>
            </w:r>
          </w:p>
          <w:p>
            <w:pPr>
              <w:spacing w:beforeLines="0" w:afterLines="0" w:line="3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要点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具体描述</w:t>
            </w:r>
          </w:p>
        </w:tc>
      </w:tr>
      <w:tr>
        <w:trPr>
          <w:trHeight w:val="629" w:hRule="atLeast"/>
          <w:jc w:val="center"/>
        </w:trPr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职业生涯规划书内容</w:t>
            </w:r>
          </w:p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（60分）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职业体验感悟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能准确描述目标职业的工作任务，了解目标职业对职业人素质要求，职业感悟真实可信，单位意见具体中肯</w:t>
            </w:r>
          </w:p>
        </w:tc>
      </w:tr>
      <w:tr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自我</w:t>
            </w:r>
          </w:p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认知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1.自我分析清晰、全面、深入、客观，自身优劣势认识清晰</w:t>
            </w:r>
          </w:p>
        </w:tc>
      </w:tr>
      <w:tr>
        <w:trPr>
          <w:trHeight w:val="625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2.综合运用各类人才测评工具评估自己的职业兴趣、个性特征、职业能力和职业价值观</w:t>
            </w:r>
          </w:p>
        </w:tc>
      </w:tr>
      <w:tr>
        <w:trPr>
          <w:trHeight w:val="610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3.能从个人兴趣、成长经历、社会实践和周围人的评价中分析自我</w:t>
            </w:r>
          </w:p>
        </w:tc>
      </w:tr>
      <w:tr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</w:t>
            </w:r>
          </w:p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认知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1.了解社会整体就业趋势与大学生就业状况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2.对目标职业的行业现状、前景及就业需求有清晰了解</w:t>
            </w:r>
          </w:p>
        </w:tc>
      </w:tr>
      <w:tr>
        <w:trPr>
          <w:trHeight w:val="615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3.熟悉目标职业的工作内容、工作环境、典型生活方式，了解目标职业的待遇、未来发展趋势</w:t>
            </w:r>
          </w:p>
        </w:tc>
      </w:tr>
      <w:tr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4.清晰了解目标职业的进入途径、胜任标准以及对生活的影响</w:t>
            </w:r>
          </w:p>
        </w:tc>
      </w:tr>
      <w:tr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5.在探索过程中应用文献检索、访谈、见习、实习等方法</w:t>
            </w:r>
          </w:p>
        </w:tc>
      </w:tr>
      <w:tr>
        <w:trPr>
          <w:trHeight w:val="605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</w:t>
            </w:r>
          </w:p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决策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1.职业目标确定和发展路径设计符合外部环境和个人特质（兴趣、技能、特质、价值观），符合实际、可执行、可实现</w:t>
            </w:r>
          </w:p>
        </w:tc>
      </w:tr>
      <w:tr>
        <w:trPr>
          <w:trHeight w:val="630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2.对照自我认知和职业认知的结果，全面分析自己的优、劣势及面临的机会和挑战，职业目标的选择过程阐述详尽，合乎逻辑</w:t>
            </w:r>
          </w:p>
        </w:tc>
      </w:tr>
      <w:tr>
        <w:trPr>
          <w:trHeight w:val="620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3.备选目标要充分根据个人与环境的评估进行分析确定，备选目标职业发展路径与首选目标发展路径要有一定相关性</w:t>
            </w:r>
          </w:p>
        </w:tc>
      </w:tr>
      <w:tr>
        <w:trPr>
          <w:trHeight w:val="347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4.能够正确运用评估理论和决策模型做出决策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7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计划与路径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1.行动计划要发挥本人优势、弥补本人不足，具有可操作性</w:t>
            </w:r>
          </w:p>
        </w:tc>
      </w:tr>
      <w:tr>
        <w:trPr>
          <w:trHeight w:val="590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2.近期计划详尽清晰、可操作性强，中期计划清晰、具有灵活性，长期计划具有导向性</w:t>
            </w:r>
          </w:p>
        </w:tc>
      </w:tr>
      <w:tr>
        <w:trPr>
          <w:trHeight w:val="630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3.职业发展路径充分考虑进入途径、胜任标准等探索结果，符合逻辑和现实</w:t>
            </w:r>
          </w:p>
        </w:tc>
      </w:tr>
      <w:tr>
        <w:trPr>
          <w:trHeight w:val="595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自我</w:t>
            </w:r>
          </w:p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监控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1.科学设定行动计划和职业目标的评估方案，标准和评估要素明确</w:t>
            </w:r>
          </w:p>
        </w:tc>
      </w:tr>
      <w:tr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2.正确评估行动计划实施过程和风险，制定切实可行的调整方案</w:t>
            </w:r>
          </w:p>
        </w:tc>
      </w:tr>
      <w:tr>
        <w:trPr>
          <w:trHeight w:val="585" w:hRule="atLeas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3.方案调整依据个人与环境评估分析确定，并考虑首选目标与备选目标间的联系和差异，具有可操作性</w:t>
            </w:r>
          </w:p>
        </w:tc>
      </w:tr>
      <w:tr>
        <w:trPr>
          <w:trHeight w:val="620" w:hRule="atLeast"/>
          <w:jc w:val="center"/>
        </w:trPr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作品设计</w:t>
            </w:r>
          </w:p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（40分）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作品</w:t>
            </w:r>
          </w:p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完整性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内容完整，对自我和外部环境进行全面分析，明确提出职业目标、发展路径和行动计划</w:t>
            </w:r>
          </w:p>
        </w:tc>
      </w:tr>
      <w:tr>
        <w:trPr>
          <w:trHeight w:val="62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作品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逻辑性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职业规划设计报告思路清晰、逻辑合理，能准确把握职业规划设计的核心与关键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93001"/>
    <w:rsid w:val="FFF93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widowControl w:val="0"/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Office_3.9.4.6407_F1E327BC-269C-435d-A152-05C5408002CA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2022-03-25T23:52:00Z</dcterms:created>
  <dc:creator>大〆叔℡</dc:creator>
  <cp:lastModifiedBy>大〆叔℡</cp:lastModifiedBy>
  <dcterms:modified xsi:type="dcterms:W3CDTF">2022-03-25T23:52:38Z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2052-3.9.4.6407</vt:lpwstr>
  </property>
</Properties>
</file>